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0034" w14:textId="22FC6F95" w:rsidR="005A0F1F" w:rsidRPr="00AF6B5A" w:rsidRDefault="005A0F1F" w:rsidP="005A0F1F">
      <w:pPr>
        <w:spacing w:before="60" w:after="60"/>
        <w:jc w:val="center"/>
        <w:rPr>
          <w:b/>
          <w:bCs/>
          <w:szCs w:val="28"/>
          <w:lang w:val="nl-NL"/>
        </w:rPr>
      </w:pPr>
      <w:r w:rsidRPr="00AF6B5A">
        <w:rPr>
          <w:b/>
          <w:bCs/>
          <w:szCs w:val="28"/>
          <w:lang w:val="nl-NL"/>
        </w:rPr>
        <w:t>Phụ lục</w:t>
      </w:r>
      <w:r w:rsidR="00AE4BEE">
        <w:rPr>
          <w:b/>
          <w:bCs/>
          <w:szCs w:val="28"/>
          <w:lang w:val="nl-NL"/>
        </w:rPr>
        <w:t xml:space="preserve"> 8</w:t>
      </w:r>
    </w:p>
    <w:p w14:paraId="448CA8DA" w14:textId="19B17DD7" w:rsidR="005A0F1F" w:rsidRDefault="005A0F1F" w:rsidP="005A0F1F">
      <w:pPr>
        <w:ind w:left="11" w:hanging="11"/>
        <w:jc w:val="center"/>
        <w:rPr>
          <w:rFonts w:eastAsia="Times New Roman"/>
          <w:b/>
          <w:szCs w:val="28"/>
          <w:lang w:val="nl-NL"/>
        </w:rPr>
      </w:pPr>
      <w:r w:rsidRPr="00AF6B5A">
        <w:rPr>
          <w:rFonts w:eastAsia="Times New Roman"/>
          <w:b/>
          <w:szCs w:val="28"/>
          <w:lang w:val="nl-NL"/>
        </w:rPr>
        <w:t xml:space="preserve">DANH MỤC THỦ TỤC HÀNH CHÍNH NỘI BỘ GIỮA CÁC CƠ QUAN HÀNH CHÍNH NHÀ NƯỚC </w:t>
      </w:r>
      <w:r>
        <w:rPr>
          <w:rFonts w:eastAsia="Times New Roman"/>
          <w:b/>
          <w:szCs w:val="28"/>
          <w:lang w:val="nl-NL"/>
        </w:rPr>
        <w:t>THUỘC PHẠM VI</w:t>
      </w:r>
      <w:r w:rsidR="00CD78BE">
        <w:rPr>
          <w:rFonts w:eastAsia="Times New Roman"/>
          <w:b/>
          <w:szCs w:val="28"/>
          <w:lang w:val="nl-NL"/>
        </w:rPr>
        <w:t>,</w:t>
      </w:r>
      <w:r>
        <w:rPr>
          <w:rFonts w:eastAsia="Times New Roman"/>
          <w:b/>
          <w:szCs w:val="28"/>
          <w:lang w:val="nl-NL"/>
        </w:rPr>
        <w:t xml:space="preserve"> CHỨC NĂNG QUẢN LÝ CỦA </w:t>
      </w:r>
      <w:r w:rsidR="00B704AA">
        <w:rPr>
          <w:rFonts w:eastAsia="Times New Roman"/>
          <w:b/>
          <w:szCs w:val="28"/>
          <w:lang w:val="nl-NL"/>
        </w:rPr>
        <w:t xml:space="preserve">SỞ </w:t>
      </w:r>
      <w:r w:rsidR="0008564B">
        <w:rPr>
          <w:rFonts w:eastAsia="Times New Roman"/>
          <w:b/>
          <w:szCs w:val="28"/>
          <w:lang w:val="nl-NL"/>
        </w:rPr>
        <w:t>TƯ PHÁP</w:t>
      </w:r>
    </w:p>
    <w:p w14:paraId="71EF97F2" w14:textId="119BC524" w:rsidR="00AC72C8" w:rsidRPr="00AC72C8" w:rsidRDefault="00AC72C8" w:rsidP="005A0F1F">
      <w:pPr>
        <w:ind w:left="11" w:hanging="11"/>
        <w:jc w:val="center"/>
        <w:rPr>
          <w:rFonts w:eastAsia="Times New Roman"/>
          <w:bCs/>
          <w:i/>
          <w:iCs/>
          <w:szCs w:val="28"/>
          <w:lang w:val="nl-NL"/>
        </w:rPr>
      </w:pPr>
      <w:r>
        <w:rPr>
          <w:rFonts w:eastAsia="Times New Roman"/>
          <w:bCs/>
          <w:i/>
          <w:iCs/>
          <w:szCs w:val="28"/>
          <w:lang w:val="nl-NL"/>
        </w:rPr>
        <w:t xml:space="preserve">(Ban hành kèm theo Quyết định số   </w:t>
      </w:r>
      <w:r w:rsidR="00635F77">
        <w:rPr>
          <w:rFonts w:eastAsia="Times New Roman"/>
          <w:bCs/>
          <w:i/>
          <w:iCs/>
          <w:szCs w:val="28"/>
          <w:lang w:val="nl-NL"/>
        </w:rPr>
        <w:t xml:space="preserve">    </w:t>
      </w:r>
      <w:r>
        <w:rPr>
          <w:rFonts w:eastAsia="Times New Roman"/>
          <w:bCs/>
          <w:i/>
          <w:iCs/>
          <w:szCs w:val="28"/>
          <w:lang w:val="nl-NL"/>
        </w:rPr>
        <w:t xml:space="preserve">   /QĐ-UBND ngày      tháng      năm 2025 của Chủ tịch UBND tỉnh Bắc Ninh)</w:t>
      </w:r>
    </w:p>
    <w:p w14:paraId="11241133" w14:textId="728A15A6" w:rsidR="005A0F1F" w:rsidRDefault="00635F77" w:rsidP="005A0F1F">
      <w:pPr>
        <w:ind w:left="11" w:hanging="11"/>
        <w:jc w:val="center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D6509" wp14:editId="52A3AFFA">
                <wp:simplePos x="0" y="0"/>
                <wp:positionH relativeFrom="column">
                  <wp:posOffset>2707118</wp:posOffset>
                </wp:positionH>
                <wp:positionV relativeFrom="paragraph">
                  <wp:posOffset>67973</wp:posOffset>
                </wp:positionV>
                <wp:extent cx="3937379" cy="0"/>
                <wp:effectExtent l="0" t="0" r="0" b="0"/>
                <wp:wrapNone/>
                <wp:docPr id="122545579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37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E3249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5.35pt" to="523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tbl>
      <w:tblPr>
        <w:tblStyle w:val="LiBang"/>
        <w:tblW w:w="0" w:type="auto"/>
        <w:tblInd w:w="-147" w:type="dxa"/>
        <w:tblLook w:val="04A0" w:firstRow="1" w:lastRow="0" w:firstColumn="1" w:lastColumn="0" w:noHBand="0" w:noVBand="1"/>
      </w:tblPr>
      <w:tblGrid>
        <w:gridCol w:w="747"/>
        <w:gridCol w:w="4097"/>
        <w:gridCol w:w="2323"/>
        <w:gridCol w:w="6725"/>
      </w:tblGrid>
      <w:tr w:rsidR="00594CD8" w14:paraId="1265E357" w14:textId="77777777" w:rsidTr="00594CD8">
        <w:tc>
          <w:tcPr>
            <w:tcW w:w="747" w:type="dxa"/>
          </w:tcPr>
          <w:p w14:paraId="42DD13CE" w14:textId="72BA7BE6" w:rsidR="00594CD8" w:rsidRDefault="00594CD8" w:rsidP="005A0F1F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STT</w:t>
            </w:r>
          </w:p>
        </w:tc>
        <w:tc>
          <w:tcPr>
            <w:tcW w:w="4097" w:type="dxa"/>
          </w:tcPr>
          <w:p w14:paraId="364D8DEB" w14:textId="52D842C3" w:rsidR="00594CD8" w:rsidRDefault="00594CD8" w:rsidP="005A0F1F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Tên TTHC nội bộ</w:t>
            </w:r>
          </w:p>
        </w:tc>
        <w:tc>
          <w:tcPr>
            <w:tcW w:w="2323" w:type="dxa"/>
          </w:tcPr>
          <w:p w14:paraId="584A402B" w14:textId="3E33B9F7" w:rsidR="00594CD8" w:rsidRDefault="00594CD8" w:rsidP="005A0F1F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Lĩnh vực</w:t>
            </w:r>
          </w:p>
        </w:tc>
        <w:tc>
          <w:tcPr>
            <w:tcW w:w="6725" w:type="dxa"/>
          </w:tcPr>
          <w:p w14:paraId="346141ED" w14:textId="6B902E50" w:rsidR="00594CD8" w:rsidRDefault="00594CD8" w:rsidP="005A0F1F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96F9D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Nội dung và hiệu lực của TTHC được công bố tại Quyết định</w:t>
            </w:r>
          </w:p>
        </w:tc>
      </w:tr>
      <w:tr w:rsidR="00594CD8" w:rsidRPr="00CD78BE" w14:paraId="3657575E" w14:textId="77777777" w:rsidTr="00594CD8">
        <w:tc>
          <w:tcPr>
            <w:tcW w:w="747" w:type="dxa"/>
          </w:tcPr>
          <w:p w14:paraId="5C45E52F" w14:textId="01868217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4097" w:type="dxa"/>
          </w:tcPr>
          <w:p w14:paraId="007610BF" w14:textId="553DB31E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  <w:lang w:val="nl-NL"/>
              </w:rPr>
              <w:t>Xếp hạng các đơn vị sự nghiệp công lập thuộc Sở Tư pháp</w:t>
            </w:r>
          </w:p>
        </w:tc>
        <w:tc>
          <w:tcPr>
            <w:tcW w:w="2323" w:type="dxa"/>
          </w:tcPr>
          <w:p w14:paraId="4C6D2C9A" w14:textId="3B0D74AE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</w:rPr>
              <w:t>Tổ chức bộ máy</w:t>
            </w:r>
          </w:p>
        </w:tc>
        <w:tc>
          <w:tcPr>
            <w:tcW w:w="6725" w:type="dxa"/>
          </w:tcPr>
          <w:p w14:paraId="3DE6E6A5" w14:textId="142A14D4" w:rsidR="00594CD8" w:rsidRPr="00223DB8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số </w:t>
            </w:r>
            <w:r w:rsidRPr="00125795">
              <w:rPr>
                <w:rFonts w:eastAsia="Times New Roman" w:cs="Times New Roman"/>
                <w:bCs/>
                <w:szCs w:val="28"/>
                <w:lang w:val="nl-NL"/>
              </w:rPr>
              <w:t>1782/QĐ-BTP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 ngày 27/9/2024 của Bộ trưởng Bộ Tư pháp </w:t>
            </w:r>
            <w:r w:rsidRPr="00223DB8">
              <w:rPr>
                <w:rFonts w:eastAsia="Times New Roman" w:cs="Times New Roman"/>
                <w:bCs/>
                <w:szCs w:val="28"/>
                <w:lang w:val="nl-NL"/>
              </w:rPr>
              <w:t>công bố bổ sung thủ tục hành chính nội bộ trong hệ thống hành chính nhà nước thuộc phạm vi chức năng quản lý của Bộ Tư pháp</w:t>
            </w:r>
          </w:p>
        </w:tc>
      </w:tr>
      <w:tr w:rsidR="00594CD8" w:rsidRPr="00CD78BE" w14:paraId="7EE3B9B6" w14:textId="77777777" w:rsidTr="00594CD8">
        <w:tc>
          <w:tcPr>
            <w:tcW w:w="747" w:type="dxa"/>
          </w:tcPr>
          <w:p w14:paraId="43147DA8" w14:textId="17E84DA6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4097" w:type="dxa"/>
          </w:tcPr>
          <w:p w14:paraId="04255BA5" w14:textId="45F787E9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  <w:lang w:val="nl-NL"/>
              </w:rPr>
              <w:t>Thành lập Hội đồng quản lý trong đơn vị sự nghiệp công lập thuộc Sở Tư pháp</w:t>
            </w:r>
          </w:p>
        </w:tc>
        <w:tc>
          <w:tcPr>
            <w:tcW w:w="2323" w:type="dxa"/>
          </w:tcPr>
          <w:p w14:paraId="2839729A" w14:textId="4425CEBC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</w:rPr>
              <w:t>Tổ chức bộ máy</w:t>
            </w:r>
          </w:p>
        </w:tc>
        <w:tc>
          <w:tcPr>
            <w:tcW w:w="6725" w:type="dxa"/>
          </w:tcPr>
          <w:p w14:paraId="589F0C35" w14:textId="2D6DCB07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số </w:t>
            </w:r>
            <w:r w:rsidRPr="00125795">
              <w:rPr>
                <w:rFonts w:eastAsia="Times New Roman" w:cs="Times New Roman"/>
                <w:bCs/>
                <w:szCs w:val="28"/>
                <w:lang w:val="nl-NL"/>
              </w:rPr>
              <w:t>1782/QĐ-BTP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 ngày 27/9/2024 của Bộ trưởng Bộ Tư pháp </w:t>
            </w:r>
            <w:r w:rsidRPr="00223DB8">
              <w:rPr>
                <w:rFonts w:eastAsia="Times New Roman" w:cs="Times New Roman"/>
                <w:bCs/>
                <w:szCs w:val="28"/>
                <w:lang w:val="nl-NL"/>
              </w:rPr>
              <w:t>công bố bổ sung thủ tục hành chính nội bộ trong hệ thống hành chính nhà nước thuộc phạm vi chức năng quản lý của Bộ Tư pháp</w:t>
            </w:r>
          </w:p>
        </w:tc>
      </w:tr>
      <w:tr w:rsidR="00594CD8" w:rsidRPr="00CD78BE" w14:paraId="5514D4F9" w14:textId="77777777" w:rsidTr="00594CD8">
        <w:tc>
          <w:tcPr>
            <w:tcW w:w="747" w:type="dxa"/>
          </w:tcPr>
          <w:p w14:paraId="62F96847" w14:textId="1B3B4048" w:rsidR="00594CD8" w:rsidRPr="00C43AE9" w:rsidRDefault="00594CD8" w:rsidP="00AA5A44">
            <w:pPr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3</w:t>
            </w:r>
          </w:p>
        </w:tc>
        <w:tc>
          <w:tcPr>
            <w:tcW w:w="4097" w:type="dxa"/>
          </w:tcPr>
          <w:p w14:paraId="152256DE" w14:textId="0EEDA537" w:rsidR="00594CD8" w:rsidRPr="00AA5A44" w:rsidRDefault="00594CD8" w:rsidP="00AA5A44">
            <w:pPr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Thành lập Phòng công chứng</w:t>
            </w:r>
          </w:p>
        </w:tc>
        <w:tc>
          <w:tcPr>
            <w:tcW w:w="2323" w:type="dxa"/>
          </w:tcPr>
          <w:p w14:paraId="616B4BC7" w14:textId="2A5AF9E5" w:rsidR="00594CD8" w:rsidRPr="00C43AE9" w:rsidRDefault="00594CD8" w:rsidP="00AA5A44">
            <w:pPr>
              <w:jc w:val="center"/>
              <w:rPr>
                <w:rFonts w:cs="Times New Roman"/>
                <w:color w:val="00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Công chứng</w:t>
            </w:r>
          </w:p>
        </w:tc>
        <w:tc>
          <w:tcPr>
            <w:tcW w:w="6725" w:type="dxa"/>
          </w:tcPr>
          <w:p w14:paraId="6C46F5EB" w14:textId="03432CCC" w:rsidR="00594CD8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số </w:t>
            </w:r>
            <w:r w:rsidRPr="00125795">
              <w:rPr>
                <w:rFonts w:eastAsia="Times New Roman" w:cs="Times New Roman"/>
                <w:bCs/>
                <w:szCs w:val="28"/>
                <w:lang w:val="nl-NL"/>
              </w:rPr>
              <w:t>1782/QĐ-BTP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 ngày 27/9/2024 của Bộ trưởng Bộ Tư pháp </w:t>
            </w:r>
            <w:r w:rsidRPr="00223DB8">
              <w:rPr>
                <w:rFonts w:eastAsia="Times New Roman" w:cs="Times New Roman"/>
                <w:bCs/>
                <w:szCs w:val="28"/>
                <w:lang w:val="nl-NL"/>
              </w:rPr>
              <w:t>công bố bổ sung thủ tục hành chính nội bộ trong hệ thống hành chính nhà nước thuộc phạm vi chức năng quản lý của Bộ Tư pháp</w:t>
            </w:r>
          </w:p>
        </w:tc>
      </w:tr>
      <w:tr w:rsidR="00594CD8" w:rsidRPr="00CD78BE" w14:paraId="745AA9D6" w14:textId="77777777" w:rsidTr="00594CD8">
        <w:tc>
          <w:tcPr>
            <w:tcW w:w="747" w:type="dxa"/>
          </w:tcPr>
          <w:p w14:paraId="7095F02E" w14:textId="5F33A19B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4097" w:type="dxa"/>
          </w:tcPr>
          <w:p w14:paraId="432BFA17" w14:textId="4E158CB7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  <w:lang w:val="nl-NL"/>
              </w:rPr>
              <w:t>Giải thể Phòng công chứng</w:t>
            </w:r>
          </w:p>
        </w:tc>
        <w:tc>
          <w:tcPr>
            <w:tcW w:w="2323" w:type="dxa"/>
          </w:tcPr>
          <w:p w14:paraId="0926150F" w14:textId="2BC42A57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</w:rPr>
              <w:t>Công chứng</w:t>
            </w:r>
          </w:p>
        </w:tc>
        <w:tc>
          <w:tcPr>
            <w:tcW w:w="6725" w:type="dxa"/>
          </w:tcPr>
          <w:p w14:paraId="1502859E" w14:textId="2E84D098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số </w:t>
            </w:r>
            <w:r w:rsidRPr="00125795">
              <w:rPr>
                <w:rFonts w:eastAsia="Times New Roman" w:cs="Times New Roman"/>
                <w:bCs/>
                <w:szCs w:val="28"/>
                <w:lang w:val="nl-NL"/>
              </w:rPr>
              <w:t>1782/QĐ-BTP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 ngày 27/9/2024 của Bộ trưởng Bộ Tư pháp </w:t>
            </w:r>
            <w:r w:rsidRPr="00223DB8">
              <w:rPr>
                <w:rFonts w:eastAsia="Times New Roman" w:cs="Times New Roman"/>
                <w:bCs/>
                <w:szCs w:val="28"/>
                <w:lang w:val="nl-NL"/>
              </w:rPr>
              <w:t>công bố bổ sung thủ tục hành chính nội bộ trong hệ thống hành chính nhà nước thuộc phạm vi chức năng quản lý của Bộ Tư pháp</w:t>
            </w:r>
          </w:p>
        </w:tc>
      </w:tr>
      <w:tr w:rsidR="00594CD8" w:rsidRPr="00CD78BE" w14:paraId="3B950736" w14:textId="77777777" w:rsidTr="00594CD8">
        <w:tc>
          <w:tcPr>
            <w:tcW w:w="747" w:type="dxa"/>
          </w:tcPr>
          <w:p w14:paraId="1F46E479" w14:textId="53AAF581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4097" w:type="dxa"/>
          </w:tcPr>
          <w:p w14:paraId="7DB7B771" w14:textId="6E4D7CE5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  <w:lang w:val="nl-NL"/>
              </w:rPr>
              <w:t>Chuyển đổi Phòng công chứng thành Văn phòng công chứng</w:t>
            </w:r>
          </w:p>
        </w:tc>
        <w:tc>
          <w:tcPr>
            <w:tcW w:w="2323" w:type="dxa"/>
          </w:tcPr>
          <w:p w14:paraId="0C0560D1" w14:textId="2DBD5621" w:rsidR="00594CD8" w:rsidRPr="00AA5A44" w:rsidRDefault="00594CD8" w:rsidP="00AA5A4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AA5A44">
              <w:rPr>
                <w:rFonts w:cs="Times New Roman"/>
                <w:color w:val="000000"/>
                <w:szCs w:val="28"/>
              </w:rPr>
              <w:t>Công chứng</w:t>
            </w:r>
          </w:p>
        </w:tc>
        <w:tc>
          <w:tcPr>
            <w:tcW w:w="6725" w:type="dxa"/>
          </w:tcPr>
          <w:p w14:paraId="455FE1A8" w14:textId="38432166" w:rsidR="00594CD8" w:rsidRPr="00AA5A44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số </w:t>
            </w:r>
            <w:r w:rsidRPr="00125795">
              <w:rPr>
                <w:rFonts w:eastAsia="Times New Roman" w:cs="Times New Roman"/>
                <w:bCs/>
                <w:szCs w:val="28"/>
                <w:lang w:val="nl-NL"/>
              </w:rPr>
              <w:t>1782/QĐ-BTP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 xml:space="preserve"> ngày 27/9/2024 của Bộ trưởng Bộ Tư pháp </w:t>
            </w:r>
            <w:r w:rsidRPr="00223DB8">
              <w:rPr>
                <w:rFonts w:eastAsia="Times New Roman" w:cs="Times New Roman"/>
                <w:bCs/>
                <w:szCs w:val="28"/>
                <w:lang w:val="nl-NL"/>
              </w:rPr>
              <w:t>công bố bổ sung thủ tục hành chính nội bộ trong hệ thống hành chính nhà nước thuộc phạm vi chức năng quản lý của Bộ Tư pháp</w:t>
            </w:r>
          </w:p>
        </w:tc>
      </w:tr>
      <w:tr w:rsidR="00594CD8" w:rsidRPr="00BB48A1" w14:paraId="7BCC705E" w14:textId="77777777" w:rsidTr="00594CD8">
        <w:tc>
          <w:tcPr>
            <w:tcW w:w="747" w:type="dxa"/>
          </w:tcPr>
          <w:p w14:paraId="2C92BDF2" w14:textId="6FCD9DCD" w:rsidR="00594CD8" w:rsidRPr="00AA5A44" w:rsidRDefault="00594CD8" w:rsidP="00AA5A4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097" w:type="dxa"/>
          </w:tcPr>
          <w:p w14:paraId="148DA4AA" w14:textId="615E43F5" w:rsidR="00594CD8" w:rsidRPr="002A5281" w:rsidRDefault="00594CD8" w:rsidP="002A5281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2A5281">
              <w:rPr>
                <w:rFonts w:cs="Times New Roman"/>
                <w:color w:val="000000"/>
                <w:szCs w:val="28"/>
              </w:rPr>
              <w:t>Công nhận báo cáo viên pháp luật cấp tỉnh</w:t>
            </w:r>
          </w:p>
        </w:tc>
        <w:tc>
          <w:tcPr>
            <w:tcW w:w="2323" w:type="dxa"/>
          </w:tcPr>
          <w:p w14:paraId="18F2C6A2" w14:textId="51533E4E" w:rsidR="00594CD8" w:rsidRPr="00AA5A44" w:rsidRDefault="00594CD8" w:rsidP="00AA5A4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002670">
              <w:rPr>
                <w:rFonts w:cs="Times New Roman"/>
                <w:color w:val="000000"/>
                <w:szCs w:val="28"/>
              </w:rPr>
              <w:t>Phổ biến, giáo dục pháp luật</w:t>
            </w:r>
          </w:p>
        </w:tc>
        <w:tc>
          <w:tcPr>
            <w:tcW w:w="6725" w:type="dxa"/>
          </w:tcPr>
          <w:p w14:paraId="34BAE329" w14:textId="4529DD12" w:rsidR="00594CD8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1E592C"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1006/QĐ-BTP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ngày 12/6/2023 của Bộ trưởng Bộ Tư pháp</w:t>
            </w:r>
            <w:r w:rsidRPr="001E592C">
              <w:rPr>
                <w:rFonts w:eastAsia="Times New Roman" w:cs="Times New Roman"/>
                <w:bCs/>
                <w:szCs w:val="28"/>
                <w:lang w:val="nl-NL"/>
              </w:rPr>
              <w:t xml:space="preserve"> công bố thủ tục hành chính nội bộ trong hệ thống hành chính nhà nước thuộc phạm vi chức năng quản lý của Bộ Tư pháp</w:t>
            </w:r>
          </w:p>
        </w:tc>
      </w:tr>
      <w:tr w:rsidR="00594CD8" w:rsidRPr="00BB48A1" w14:paraId="282EA9C6" w14:textId="77777777" w:rsidTr="00594CD8">
        <w:tc>
          <w:tcPr>
            <w:tcW w:w="747" w:type="dxa"/>
          </w:tcPr>
          <w:p w14:paraId="6AA392B8" w14:textId="2E646A99" w:rsidR="00594CD8" w:rsidRPr="00AA5A44" w:rsidRDefault="00594CD8" w:rsidP="00AA5A44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4097" w:type="dxa"/>
          </w:tcPr>
          <w:p w14:paraId="20408A04" w14:textId="08DA9186" w:rsidR="00594CD8" w:rsidRPr="002A5281" w:rsidRDefault="00594CD8" w:rsidP="002A5281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002670">
              <w:rPr>
                <w:rFonts w:cs="Times New Roman"/>
                <w:color w:val="000000"/>
                <w:szCs w:val="28"/>
              </w:rPr>
              <w:t>Miễn nhiệm báo cáo viên pháp luật cấp tỉnh</w:t>
            </w:r>
          </w:p>
        </w:tc>
        <w:tc>
          <w:tcPr>
            <w:tcW w:w="2323" w:type="dxa"/>
          </w:tcPr>
          <w:p w14:paraId="66FB87E1" w14:textId="4BBC7A04" w:rsidR="00594CD8" w:rsidRPr="00AA5A44" w:rsidRDefault="00594CD8" w:rsidP="00AA5A4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002670">
              <w:rPr>
                <w:rFonts w:cs="Times New Roman"/>
                <w:color w:val="000000"/>
                <w:szCs w:val="28"/>
              </w:rPr>
              <w:t>Phổ biến, giáo dục pháp luật</w:t>
            </w:r>
          </w:p>
        </w:tc>
        <w:tc>
          <w:tcPr>
            <w:tcW w:w="6725" w:type="dxa"/>
          </w:tcPr>
          <w:p w14:paraId="5A98A711" w14:textId="610F410E" w:rsidR="00594CD8" w:rsidRDefault="00594CD8" w:rsidP="00AA5A44">
            <w:pPr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1E592C">
              <w:rPr>
                <w:rFonts w:eastAsia="Times New Roman" w:cs="Times New Roman"/>
                <w:bCs/>
                <w:szCs w:val="28"/>
                <w:lang w:val="nl-NL"/>
              </w:rPr>
              <w:t xml:space="preserve">Quyết định 1006/QĐ-BTP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ngày 12/6/2023 của Bộ trưởng Bộ Tư pháp</w:t>
            </w:r>
            <w:r w:rsidRPr="001E592C">
              <w:rPr>
                <w:rFonts w:eastAsia="Times New Roman" w:cs="Times New Roman"/>
                <w:bCs/>
                <w:szCs w:val="28"/>
                <w:lang w:val="nl-NL"/>
              </w:rPr>
              <w:t xml:space="preserve"> công bố thủ tục hành chính nội bộ trong hệ thống hành chính nhà nước thuộc phạm vi chức năng quản lý của Bộ Tư pháp</w:t>
            </w:r>
          </w:p>
        </w:tc>
      </w:tr>
    </w:tbl>
    <w:p w14:paraId="2B2C8F06" w14:textId="77777777" w:rsidR="005A0F1F" w:rsidRPr="00AF6B5A" w:rsidRDefault="005A0F1F" w:rsidP="005A0F1F">
      <w:pPr>
        <w:ind w:left="11" w:hanging="11"/>
        <w:jc w:val="both"/>
        <w:rPr>
          <w:rFonts w:eastAsia="Times New Roman"/>
          <w:b/>
          <w:szCs w:val="28"/>
          <w:lang w:val="nl-NL"/>
        </w:rPr>
      </w:pPr>
    </w:p>
    <w:sectPr w:rsidR="005A0F1F" w:rsidRPr="00AF6B5A" w:rsidSect="00750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E701" w14:textId="77777777" w:rsidR="002E3243" w:rsidRDefault="002E3243" w:rsidP="00F00545">
      <w:pPr>
        <w:spacing w:line="240" w:lineRule="auto"/>
      </w:pPr>
      <w:r>
        <w:separator/>
      </w:r>
    </w:p>
  </w:endnote>
  <w:endnote w:type="continuationSeparator" w:id="0">
    <w:p w14:paraId="034E2D66" w14:textId="77777777" w:rsidR="002E3243" w:rsidRDefault="002E3243" w:rsidP="00F00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8627" w14:textId="77777777" w:rsidR="0075005E" w:rsidRDefault="0075005E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25E2" w14:textId="77777777" w:rsidR="0075005E" w:rsidRDefault="0075005E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4F8" w14:textId="77777777" w:rsidR="0075005E" w:rsidRDefault="0075005E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57E0" w14:textId="77777777" w:rsidR="002E3243" w:rsidRDefault="002E3243" w:rsidP="00F00545">
      <w:pPr>
        <w:spacing w:line="240" w:lineRule="auto"/>
      </w:pPr>
      <w:r>
        <w:separator/>
      </w:r>
    </w:p>
  </w:footnote>
  <w:footnote w:type="continuationSeparator" w:id="0">
    <w:p w14:paraId="4F5FF212" w14:textId="77777777" w:rsidR="002E3243" w:rsidRDefault="002E3243" w:rsidP="00F005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58D6" w14:textId="77777777" w:rsidR="0075005E" w:rsidRDefault="0075005E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7863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E50BF1" w14:textId="61681B55" w:rsidR="0075005E" w:rsidRDefault="0075005E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D67FB" w14:textId="77777777" w:rsidR="0075005E" w:rsidRDefault="0075005E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943F" w14:textId="77777777" w:rsidR="0075005E" w:rsidRDefault="0075005E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1F"/>
    <w:rsid w:val="00002670"/>
    <w:rsid w:val="000620F2"/>
    <w:rsid w:val="0008564B"/>
    <w:rsid w:val="00087106"/>
    <w:rsid w:val="00113A6B"/>
    <w:rsid w:val="00117DEB"/>
    <w:rsid w:val="001212C4"/>
    <w:rsid w:val="00125795"/>
    <w:rsid w:val="00145711"/>
    <w:rsid w:val="001E592C"/>
    <w:rsid w:val="00223DB8"/>
    <w:rsid w:val="00281A84"/>
    <w:rsid w:val="002A5281"/>
    <w:rsid w:val="002E3243"/>
    <w:rsid w:val="002E6EA9"/>
    <w:rsid w:val="00357A94"/>
    <w:rsid w:val="00381CC8"/>
    <w:rsid w:val="003A1F68"/>
    <w:rsid w:val="00490120"/>
    <w:rsid w:val="0049636E"/>
    <w:rsid w:val="004D7703"/>
    <w:rsid w:val="004F35C4"/>
    <w:rsid w:val="005071D4"/>
    <w:rsid w:val="00525883"/>
    <w:rsid w:val="00560A72"/>
    <w:rsid w:val="00584C02"/>
    <w:rsid w:val="00594CD8"/>
    <w:rsid w:val="00596545"/>
    <w:rsid w:val="005A0F1F"/>
    <w:rsid w:val="005A64D0"/>
    <w:rsid w:val="005C45C1"/>
    <w:rsid w:val="00635F77"/>
    <w:rsid w:val="00674211"/>
    <w:rsid w:val="006D5EDD"/>
    <w:rsid w:val="007345D1"/>
    <w:rsid w:val="0075005E"/>
    <w:rsid w:val="007847D7"/>
    <w:rsid w:val="007C1B85"/>
    <w:rsid w:val="00855026"/>
    <w:rsid w:val="008A061A"/>
    <w:rsid w:val="008B56EB"/>
    <w:rsid w:val="00921A59"/>
    <w:rsid w:val="00941DC5"/>
    <w:rsid w:val="00956DEB"/>
    <w:rsid w:val="009C2128"/>
    <w:rsid w:val="00A10E19"/>
    <w:rsid w:val="00A117E6"/>
    <w:rsid w:val="00A11C0F"/>
    <w:rsid w:val="00A1336F"/>
    <w:rsid w:val="00AA5A44"/>
    <w:rsid w:val="00AC2762"/>
    <w:rsid w:val="00AC72C8"/>
    <w:rsid w:val="00AE10F4"/>
    <w:rsid w:val="00AE2497"/>
    <w:rsid w:val="00AE4BEE"/>
    <w:rsid w:val="00B704AA"/>
    <w:rsid w:val="00BB48A1"/>
    <w:rsid w:val="00BD3EBA"/>
    <w:rsid w:val="00C43AE9"/>
    <w:rsid w:val="00CC7C82"/>
    <w:rsid w:val="00CD78BE"/>
    <w:rsid w:val="00D05E9E"/>
    <w:rsid w:val="00D208EF"/>
    <w:rsid w:val="00D27DB5"/>
    <w:rsid w:val="00D5069E"/>
    <w:rsid w:val="00D551D8"/>
    <w:rsid w:val="00E21EA5"/>
    <w:rsid w:val="00E508BF"/>
    <w:rsid w:val="00E914F0"/>
    <w:rsid w:val="00F00545"/>
    <w:rsid w:val="00F80CCC"/>
    <w:rsid w:val="00F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A83AA"/>
  <w15:chartTrackingRefBased/>
  <w15:docId w15:val="{1FBAA677-53AD-47C7-A7F3-40AD4FF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A0F1F"/>
    <w:pPr>
      <w:spacing w:after="0" w:line="259" w:lineRule="auto"/>
    </w:pPr>
    <w:rPr>
      <w:rFonts w:ascii="Times New Roman" w:eastAsiaTheme="minorHAnsi" w:hAnsi="Times New Roman"/>
      <w:kern w:val="0"/>
      <w:sz w:val="28"/>
      <w:szCs w:val="22"/>
      <w:lang w:eastAsia="en-US" w:bidi="ar-SA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5A0F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5A0F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A0F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:lang w:eastAsia="zh-CN" w:bidi="th-TH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5A0F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5A0F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5A0F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5A0F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zh-CN" w:bidi="th-TH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5A0F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5A0F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zh-CN" w:bidi="th-TH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A0F1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A0F1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u3Char">
    <w:name w:val="Đầu đề 3 Char"/>
    <w:basedOn w:val="Phngmcinhcuaoanvn"/>
    <w:link w:val="u3"/>
    <w:uiPriority w:val="9"/>
    <w:semiHidden/>
    <w:rsid w:val="005A0F1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A0F1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5A0F1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5A0F1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5A0F1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5A0F1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5A0F1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5A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5A0F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iuphu">
    <w:name w:val="Subtitle"/>
    <w:basedOn w:val="Binhthng"/>
    <w:next w:val="Binhthng"/>
    <w:link w:val="TiuphuChar"/>
    <w:uiPriority w:val="11"/>
    <w:qFormat/>
    <w:rsid w:val="005A0F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zh-CN" w:bidi="th-TH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5A0F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5A0F1F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30"/>
      <w:lang w:eastAsia="zh-CN" w:bidi="th-TH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5A0F1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5A0F1F"/>
    <w:pPr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 w:val="24"/>
      <w:szCs w:val="30"/>
      <w:lang w:eastAsia="zh-CN" w:bidi="th-TH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5A0F1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5A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30"/>
      <w:lang w:eastAsia="zh-CN" w:bidi="th-TH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5A0F1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5A0F1F"/>
    <w:rPr>
      <w:b/>
      <w:bCs/>
      <w:smallCaps/>
      <w:color w:val="0F4761" w:themeColor="accent1" w:themeShade="BF"/>
      <w:spacing w:val="5"/>
    </w:rPr>
  </w:style>
  <w:style w:type="character" w:customStyle="1" w:styleId="Other">
    <w:name w:val="Other_"/>
    <w:link w:val="Other0"/>
    <w:rsid w:val="005A0F1F"/>
    <w:rPr>
      <w:i/>
      <w:iCs/>
      <w:szCs w:val="28"/>
      <w:shd w:val="clear" w:color="auto" w:fill="FFFFFF"/>
    </w:rPr>
  </w:style>
  <w:style w:type="paragraph" w:customStyle="1" w:styleId="Other0">
    <w:name w:val="Other"/>
    <w:basedOn w:val="Binhthng"/>
    <w:link w:val="Other"/>
    <w:rsid w:val="005A0F1F"/>
    <w:pPr>
      <w:widowControl w:val="0"/>
      <w:shd w:val="clear" w:color="auto" w:fill="FFFFFF"/>
      <w:spacing w:after="80" w:line="264" w:lineRule="auto"/>
      <w:ind w:firstLine="400"/>
    </w:pPr>
    <w:rPr>
      <w:rFonts w:asciiTheme="minorHAnsi" w:eastAsiaTheme="minorEastAsia" w:hAnsiTheme="minorHAnsi"/>
      <w:i/>
      <w:iCs/>
      <w:kern w:val="2"/>
      <w:sz w:val="24"/>
      <w:szCs w:val="28"/>
      <w:lang w:eastAsia="zh-CN" w:bidi="th-TH"/>
      <w14:ligatures w14:val="standardContextual"/>
    </w:rPr>
  </w:style>
  <w:style w:type="table" w:styleId="LiBang">
    <w:name w:val="Table Grid"/>
    <w:basedOn w:val="BangThngthng"/>
    <w:uiPriority w:val="39"/>
    <w:rsid w:val="005A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A11C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 w:bidi="th-TH"/>
    </w:rPr>
  </w:style>
  <w:style w:type="character" w:styleId="Siuktni">
    <w:name w:val="Hyperlink"/>
    <w:basedOn w:val="Phngmcinhcuaoanvn"/>
    <w:uiPriority w:val="99"/>
    <w:semiHidden/>
    <w:unhideWhenUsed/>
    <w:rsid w:val="00A11C0F"/>
    <w:rPr>
      <w:color w:val="0000FF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F00545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00545"/>
    <w:rPr>
      <w:rFonts w:ascii="Times New Roman" w:eastAsiaTheme="minorHAnsi" w:hAnsi="Times New Roman"/>
      <w:kern w:val="0"/>
      <w:sz w:val="28"/>
      <w:szCs w:val="22"/>
      <w:lang w:eastAsia="en-US" w:bidi="ar-SA"/>
      <w14:ligatures w14:val="none"/>
    </w:rPr>
  </w:style>
  <w:style w:type="paragraph" w:styleId="Chntrang">
    <w:name w:val="footer"/>
    <w:basedOn w:val="Binhthng"/>
    <w:link w:val="ChntrangChar"/>
    <w:uiPriority w:val="99"/>
    <w:unhideWhenUsed/>
    <w:rsid w:val="00F00545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00545"/>
    <w:rPr>
      <w:rFonts w:ascii="Times New Roman" w:eastAsiaTheme="minorHAnsi" w:hAnsi="Times New Roman"/>
      <w:kern w:val="0"/>
      <w:sz w:val="28"/>
      <w:szCs w:val="22"/>
      <w:lang w:eastAsia="en-US" w:bidi="ar-SA"/>
      <w14:ligatures w14:val="none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9C2128"/>
    <w:pPr>
      <w:spacing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9C2128"/>
    <w:rPr>
      <w:rFonts w:ascii="Times New Roman" w:eastAsiaTheme="minorHAnsi" w:hAnsi="Times New Roman"/>
      <w:kern w:val="0"/>
      <w:sz w:val="20"/>
      <w:szCs w:val="20"/>
      <w:lang w:eastAsia="en-US" w:bidi="ar-SA"/>
      <w14:ligatures w14:val="none"/>
    </w:rPr>
  </w:style>
  <w:style w:type="character" w:styleId="ThamchiuCcchu">
    <w:name w:val="footnote reference"/>
    <w:basedOn w:val="Phngmcinhcuaoanvn"/>
    <w:uiPriority w:val="99"/>
    <w:semiHidden/>
    <w:unhideWhenUsed/>
    <w:rsid w:val="009C2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D56C-F1FC-4E1C-AFE6-E73A7FA5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The</dc:creator>
  <cp:keywords/>
  <dc:description/>
  <cp:lastModifiedBy>Nguy?n Th? Kim Thoa</cp:lastModifiedBy>
  <cp:revision>21</cp:revision>
  <dcterms:created xsi:type="dcterms:W3CDTF">2025-10-27T06:34:00Z</dcterms:created>
  <dcterms:modified xsi:type="dcterms:W3CDTF">2025-10-31T06:32:00Z</dcterms:modified>
</cp:coreProperties>
</file>