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A19E40" w:rsidR="008A3462" w:rsidRDefault="00000000" w:rsidP="00FC5A71">
      <w:pPr>
        <w:tabs>
          <w:tab w:val="left" w:pos="840"/>
          <w:tab w:val="left" w:pos="1320"/>
          <w:tab w:val="left" w:pos="2280"/>
        </w:tabs>
        <w:spacing w:before="120"/>
        <w:ind w:firstLine="720"/>
        <w:jc w:val="center"/>
        <w:rPr>
          <w:sz w:val="28"/>
          <w:szCs w:val="28"/>
          <w:highlight w:val="white"/>
        </w:rPr>
      </w:pPr>
      <w:r>
        <w:rPr>
          <w:b/>
          <w:sz w:val="28"/>
          <w:szCs w:val="28"/>
          <w:highlight w:val="white"/>
        </w:rPr>
        <w:t>GIẢI THÍCH BIỂU MẪU SỐ 0</w:t>
      </w:r>
      <w:r w:rsidR="00241188">
        <w:rPr>
          <w:b/>
          <w:sz w:val="28"/>
          <w:szCs w:val="28"/>
          <w:highlight w:val="white"/>
        </w:rPr>
        <w:t>4</w:t>
      </w:r>
      <w:r>
        <w:rPr>
          <w:b/>
          <w:sz w:val="28"/>
          <w:szCs w:val="28"/>
          <w:highlight w:val="white"/>
        </w:rPr>
        <w:t>a/TP/PBGDPL, 0</w:t>
      </w:r>
      <w:r w:rsidR="00241188">
        <w:rPr>
          <w:b/>
          <w:sz w:val="28"/>
          <w:szCs w:val="28"/>
          <w:highlight w:val="white"/>
        </w:rPr>
        <w:t>4</w:t>
      </w:r>
      <w:r>
        <w:rPr>
          <w:b/>
          <w:sz w:val="28"/>
          <w:szCs w:val="28"/>
          <w:highlight w:val="white"/>
        </w:rPr>
        <w:t>b/TP/PBGDPL, 0</w:t>
      </w:r>
      <w:r w:rsidR="00241188">
        <w:rPr>
          <w:b/>
          <w:sz w:val="28"/>
          <w:szCs w:val="28"/>
          <w:highlight w:val="white"/>
        </w:rPr>
        <w:t>4</w:t>
      </w:r>
      <w:r>
        <w:rPr>
          <w:b/>
          <w:sz w:val="28"/>
          <w:szCs w:val="28"/>
          <w:highlight w:val="white"/>
        </w:rPr>
        <w:t xml:space="preserve">c/TP/PBGDPL, </w:t>
      </w:r>
      <w:r w:rsidR="00241188">
        <w:rPr>
          <w:b/>
          <w:sz w:val="28"/>
          <w:szCs w:val="28"/>
          <w:highlight w:val="white"/>
        </w:rPr>
        <w:t>04d</w:t>
      </w:r>
      <w:r>
        <w:rPr>
          <w:b/>
          <w:sz w:val="28"/>
          <w:szCs w:val="28"/>
          <w:highlight w:val="white"/>
        </w:rPr>
        <w:t>/TP/PBGDPL</w:t>
      </w:r>
    </w:p>
    <w:p w14:paraId="00000002" w14:textId="77777777" w:rsidR="008A3462" w:rsidRDefault="00000000" w:rsidP="00FC5A71">
      <w:pPr>
        <w:pBdr>
          <w:top w:val="nil"/>
          <w:left w:val="nil"/>
          <w:bottom w:val="nil"/>
          <w:right w:val="nil"/>
          <w:between w:val="nil"/>
        </w:pBdr>
        <w:tabs>
          <w:tab w:val="left" w:pos="840"/>
          <w:tab w:val="left" w:pos="1320"/>
          <w:tab w:val="left" w:pos="2280"/>
        </w:tabs>
        <w:spacing w:before="120"/>
        <w:ind w:firstLine="720"/>
        <w:jc w:val="center"/>
        <w:rPr>
          <w:sz w:val="28"/>
          <w:szCs w:val="28"/>
          <w:highlight w:val="white"/>
        </w:rPr>
      </w:pPr>
      <w:r>
        <w:rPr>
          <w:b/>
          <w:sz w:val="28"/>
          <w:szCs w:val="28"/>
          <w:highlight w:val="white"/>
        </w:rPr>
        <w:t>(Kết quả công tác phổ biến giáo dục pháp luật)</w:t>
      </w:r>
    </w:p>
    <w:p w14:paraId="00000003" w14:textId="77777777" w:rsidR="008A3462" w:rsidRDefault="00000000" w:rsidP="00FC5A71">
      <w:pPr>
        <w:tabs>
          <w:tab w:val="left" w:pos="840"/>
          <w:tab w:val="left" w:pos="1320"/>
          <w:tab w:val="left" w:pos="2280"/>
        </w:tabs>
        <w:spacing w:before="120"/>
        <w:ind w:firstLine="720"/>
        <w:jc w:val="both"/>
        <w:rPr>
          <w:sz w:val="28"/>
          <w:szCs w:val="28"/>
          <w:highlight w:val="white"/>
        </w:rPr>
      </w:pPr>
      <w:r>
        <w:rPr>
          <w:b/>
          <w:sz w:val="28"/>
          <w:szCs w:val="28"/>
          <w:highlight w:val="white"/>
        </w:rPr>
        <w:t>1. Khái niệm, phương pháp tính</w:t>
      </w:r>
    </w:p>
    <w:p w14:paraId="00000004" w14:textId="77777777" w:rsidR="008A3462" w:rsidRDefault="00000000" w:rsidP="00FC5A71">
      <w:pPr>
        <w:spacing w:before="120"/>
        <w:ind w:firstLine="720"/>
        <w:jc w:val="both"/>
        <w:rPr>
          <w:sz w:val="28"/>
          <w:szCs w:val="28"/>
          <w:highlight w:val="white"/>
        </w:rPr>
      </w:pPr>
      <w:r>
        <w:rPr>
          <w:sz w:val="28"/>
          <w:szCs w:val="28"/>
          <w:highlight w:val="white"/>
        </w:rPr>
        <w:t>Các hoạt động PBGDPL được thể hiện trong kế hoạch, báo cáo, cổng/trang thông tin điện tử, phần mềm, cơ sở dữ liệu về phổ biến giáo dục pháp luật...</w:t>
      </w:r>
    </w:p>
    <w:p w14:paraId="00000005" w14:textId="77777777" w:rsidR="008A3462" w:rsidRPr="00FC5A71" w:rsidRDefault="00000000" w:rsidP="00FC5A71">
      <w:pPr>
        <w:tabs>
          <w:tab w:val="left" w:pos="840"/>
          <w:tab w:val="left" w:pos="1320"/>
          <w:tab w:val="left" w:pos="2280"/>
        </w:tabs>
        <w:spacing w:before="120"/>
        <w:ind w:firstLine="720"/>
        <w:jc w:val="both"/>
        <w:rPr>
          <w:spacing w:val="-2"/>
          <w:sz w:val="28"/>
          <w:szCs w:val="28"/>
          <w:highlight w:val="white"/>
        </w:rPr>
      </w:pPr>
      <w:r w:rsidRPr="00FC5A71">
        <w:rPr>
          <w:spacing w:val="-2"/>
          <w:sz w:val="28"/>
          <w:szCs w:val="28"/>
          <w:highlight w:val="white"/>
        </w:rPr>
        <w:t>- Số người thực hiện phổ biến pháp luật là số người trong số tuyên truyền viên pháp luật cấp xã/báo cáo viên pháp luật cấp tỉnh/báo cáo viên pháp luật trung ương trực tiếp làm báo cáo viên, thực hiện phổ biến kiến thức pháp luật trong kỳ báo cáo.</w:t>
      </w:r>
    </w:p>
    <w:p w14:paraId="00000006"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Phổ biến pháp luật trực tiếp là một hình thức phổ biến, giáo dục pháp luật mà người nói trực tiếp nói với người nghe  tại các hội nghị, lớp tập huấn, bồi dưỡng có nội dung phổ biến, giáo dục pháp luật nhằm truyền tải nội dung các quy định pháp luật, góp phần nâng cao nhận thức, hiểu biết và ý thức pháp luật cho người nghe, hướng người nghe có hành vi ứng xử theo các chuẩn mực pháp luật.</w:t>
      </w:r>
    </w:p>
    <w:p w14:paraId="00000007"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Phổ biến, giáo dục pháp luật trực tuyến là hình thức phổ biến, giáo dục pháp luật được thực hiện thông qua việc ứng dụng công nghệ thông tin, internet trong quá trình thực hiện nhằm nâng cao nhận thức, hiểu biết và ý thức pháp luật cho người nghe, hướng người nghe hành động theo các chuẩn mực pháp luật.</w:t>
      </w:r>
    </w:p>
    <w:p w14:paraId="00000008"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Thi tìm hiểu pháp luật là hoạt động do cơ quan nhà nước, tổ chức, các doanh nghiệp, trường học... tổ chức nhằm động viên, khuyến khích cán bộ, công chức, viên chức, người dân (tùy theo phạm vi tổ chức) tham gia tìm hiểu quy định của pháp luật, qua đó góp phần nâng cao hiểu biết, ý thức chấp hành pháp luật thông qua các hình thức thi viết, thi trắc nghiệm (trên giấy hoặc trực tuyến), thi sân khấu hóa…</w:t>
      </w:r>
    </w:p>
    <w:p w14:paraId="13869E6D" w14:textId="6E16492B" w:rsidR="00D86EDF" w:rsidRPr="00D86EDF"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Số tài liệu PBGDPL được phát hành hoặc đăng tải: bao gồm sách, tờ gấp, video, chương trình, tọa đàm, phóng sự truyền hình, các tài liệu có chứa nội dung phổ biến các lĩnh vực pháp luật cụ thể được in, phát hành, đăng tải trên internet. Tài liệu gốc là tài liệu được xây dựng để phổ biến, giáo dục pháp luật. Tài liệu được nhân bản để phát hành là số tài liệu được in ấn/photocopy từ tài liệu gốc.</w:t>
      </w:r>
    </w:p>
    <w:p w14:paraId="0000000A" w14:textId="3840BA51" w:rsidR="008A3462" w:rsidRDefault="00000000" w:rsidP="00FC5A71">
      <w:pPr>
        <w:spacing w:before="120"/>
        <w:ind w:firstLine="720"/>
        <w:jc w:val="both"/>
        <w:rPr>
          <w:sz w:val="28"/>
          <w:szCs w:val="28"/>
          <w:highlight w:val="white"/>
        </w:rPr>
      </w:pPr>
      <w:r>
        <w:rPr>
          <w:sz w:val="28"/>
          <w:szCs w:val="28"/>
          <w:highlight w:val="white"/>
        </w:rPr>
        <w:t xml:space="preserve">- Số chính sách, dự thảo văn bản quy phạm pháp luật </w:t>
      </w:r>
      <w:r w:rsidR="00102956">
        <w:rPr>
          <w:sz w:val="28"/>
          <w:szCs w:val="28"/>
          <w:highlight w:val="white"/>
        </w:rPr>
        <w:t xml:space="preserve">phải </w:t>
      </w:r>
      <w:r>
        <w:rPr>
          <w:sz w:val="28"/>
          <w:szCs w:val="28"/>
          <w:highlight w:val="white"/>
        </w:rPr>
        <w:t>được truyền thông theo quy định tại điểm b khoản 4 Điều 51 và khoản 4 Điều 68 Luật Ban hành văn bản quy phạm pháp luật số 64/2025/QH15 được sửa đổi, bổ sung bởi Luật số 87/2025/QH15, theo kế hoạch truyền thông/kế hoạch PBGDPL của các bộ, ngành, địa phương.</w:t>
      </w:r>
    </w:p>
    <w:p w14:paraId="0000000B" w14:textId="77777777" w:rsidR="008A3462" w:rsidRDefault="00000000" w:rsidP="00FC5A71">
      <w:pPr>
        <w:spacing w:before="120"/>
        <w:ind w:firstLine="720"/>
        <w:jc w:val="both"/>
        <w:rPr>
          <w:sz w:val="28"/>
          <w:szCs w:val="28"/>
          <w:highlight w:val="white"/>
        </w:rPr>
      </w:pPr>
      <w:r>
        <w:rPr>
          <w:sz w:val="28"/>
          <w:szCs w:val="28"/>
          <w:highlight w:val="white"/>
        </w:rPr>
        <w:lastRenderedPageBreak/>
        <w:t>- Chính sách, dự thảo văn bản QPPL đã được truyền thông gồm những văn bản như: chính sách, dự thảo luật, bộ luật, nghị quyết của Quốc hội; Pháp lệnh, Nghị quyết của Ủy ban Thường vụ Quốc hội; Nghị định của Chính phủ; Quyết định của Thủ tướng Chính phủ; Thông tư của Bộ trưởng, Thủ trưởng cơ quan ngang bộ; Thông tư liên tịch giữa Bộ trưởng, Thủ trưởng cơ quan ngang bộ và Chánh án Tòa án nhân dân tối cao, Viện trưởng Viện Kiểm sát nhân dân tối cao; Nghị quyết của Hội đồng nhân dân các cấp…</w:t>
      </w:r>
    </w:p>
    <w:p w14:paraId="0000000C" w14:textId="77777777" w:rsidR="008A3462" w:rsidRDefault="00000000" w:rsidP="00FC5A71">
      <w:pPr>
        <w:spacing w:before="120"/>
        <w:ind w:firstLine="720"/>
        <w:jc w:val="both"/>
        <w:rPr>
          <w:sz w:val="28"/>
          <w:szCs w:val="28"/>
          <w:highlight w:val="white"/>
        </w:rPr>
      </w:pPr>
      <w:r>
        <w:rPr>
          <w:sz w:val="28"/>
          <w:szCs w:val="28"/>
          <w:highlight w:val="white"/>
        </w:rPr>
        <w:t>- Tại giai đoạn lập đề xuất chính sách, tính theo số lượng chính sách phải được truyền thông/đã được truyền thông. Tại giai đoạn soạn thảo dự thảo văn bản: tính theo số lượng dự thảo văn bản phải được truyền thông/đã được truyền thông.</w:t>
      </w:r>
    </w:p>
    <w:p w14:paraId="0000000D" w14:textId="77777777" w:rsidR="008A3462" w:rsidRDefault="00000000" w:rsidP="00FC5A71">
      <w:pPr>
        <w:spacing w:before="120"/>
        <w:ind w:firstLine="720"/>
        <w:jc w:val="both"/>
        <w:rPr>
          <w:b/>
          <w:i/>
          <w:sz w:val="28"/>
          <w:szCs w:val="28"/>
          <w:highlight w:val="white"/>
        </w:rPr>
      </w:pPr>
      <w:r>
        <w:rPr>
          <w:b/>
          <w:i/>
          <w:sz w:val="28"/>
          <w:szCs w:val="28"/>
          <w:highlight w:val="white"/>
        </w:rPr>
        <w:t>2. Phân tổ chủ yếu</w:t>
      </w:r>
    </w:p>
    <w:p w14:paraId="0000000E"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Kinh phí dành cho công tác PBGDPL:</w:t>
      </w:r>
    </w:p>
    <w:p w14:paraId="0000000F"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Kinh phí từ ngân sách nhà nước: là số kinh phí được cấp từ nguồn ngân sách nhà nước dành cho công tác PBGDPL.</w:t>
      </w:r>
    </w:p>
    <w:p w14:paraId="00000010" w14:textId="263890B1" w:rsidR="008A3462" w:rsidRDefault="00000000" w:rsidP="00FC5A71">
      <w:pPr>
        <w:tabs>
          <w:tab w:val="left" w:pos="763"/>
          <w:tab w:val="left" w:pos="1320"/>
          <w:tab w:val="left" w:pos="2280"/>
        </w:tabs>
        <w:spacing w:before="120"/>
        <w:ind w:firstLine="720"/>
        <w:jc w:val="both"/>
        <w:rPr>
          <w:sz w:val="28"/>
          <w:szCs w:val="28"/>
          <w:highlight w:val="white"/>
        </w:rPr>
      </w:pPr>
      <w:r>
        <w:rPr>
          <w:sz w:val="28"/>
          <w:szCs w:val="28"/>
          <w:highlight w:val="white"/>
        </w:rPr>
        <w:t>Kinh phí NSNN phân bổ thường xuyên: là kinh phí được phân bổ thường xuyên từ nguồn ngân sách nhà nước theo Luật ngân sách nhà nước dành cho công tác PBGDPL.</w:t>
      </w:r>
    </w:p>
    <w:p w14:paraId="00000011" w14:textId="631392EA"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Kinh phí NSNN cấp theo Chương trình, đề án: là kinh phí được cấp được cấp từ nguồn ngân sách nhà nước theo các chương trình, đề án về PBGDPL.</w:t>
      </w:r>
    </w:p>
    <w:p w14:paraId="00000012"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Kinh phí từ nguồn hỗ trợ khác là kinh phí được hỗ trợ, đóng góp của tổ chức, doanh nghiệp, cá nhân… để triển khai thực hiện công tác PBGDPL.</w:t>
      </w:r>
    </w:p>
    <w:p w14:paraId="00000013"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Bộ Công an, Bộ Quốc phòng sẽ báo cáo số liệu thống kê trong toàn ngành.</w:t>
      </w:r>
    </w:p>
    <w:p w14:paraId="00000014" w14:textId="77777777" w:rsidR="008A3462" w:rsidRDefault="00000000" w:rsidP="00FC5A71">
      <w:pPr>
        <w:tabs>
          <w:tab w:val="left" w:pos="840"/>
          <w:tab w:val="left" w:pos="1320"/>
          <w:tab w:val="left" w:pos="2280"/>
        </w:tabs>
        <w:spacing w:before="120"/>
        <w:ind w:firstLine="720"/>
        <w:jc w:val="both"/>
        <w:rPr>
          <w:sz w:val="28"/>
          <w:szCs w:val="28"/>
          <w:highlight w:val="white"/>
        </w:rPr>
      </w:pPr>
      <w:r>
        <w:rPr>
          <w:b/>
          <w:sz w:val="28"/>
          <w:szCs w:val="28"/>
          <w:highlight w:val="white"/>
        </w:rPr>
        <w:t>2. Cách ghi biểu</w:t>
      </w:r>
    </w:p>
    <w:p w14:paraId="00000015"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Những ô đánh dấu “-” không phải báo cáo.</w:t>
      </w:r>
    </w:p>
    <w:p w14:paraId="00000016"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Chỉ báo cáo số liệu do đơn vị chủ trì thực hiện. Không báo số liệu do phối hợp với các đơn vị khác. Ví dụ: Cuộc thi viết Tìm hiểu Hiến pháp nước Cộng hòa xã hội chủ nghĩa Việt Nam do Bộ Tư pháp tổ chức, Bộ Tư pháp sẽ là đơn vị thống kê 01 Cuộc thi; các Bộ, ngành, địa phương phát động Cuộc thi này tại Bộ, ngành, địa phương mình không phải thống kê.</w:t>
      </w:r>
    </w:p>
    <w:p w14:paraId="00000017"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t>- Số cuộc phổ biến pháp luật trực tiếp: Đối với các đơn vị có chức năng chính là đào tạo thì không tính các hoạt động giảng dạy chuyên môn pháp luật vào cuộc phổ biến giáo dục pháp luật trực tiếp (ví dụ các trường luật, khoa luật...)</w:t>
      </w:r>
    </w:p>
    <w:p w14:paraId="00000018" w14:textId="77777777" w:rsidR="008A3462" w:rsidRDefault="00000000" w:rsidP="00FC5A71">
      <w:pPr>
        <w:tabs>
          <w:tab w:val="left" w:pos="840"/>
          <w:tab w:val="left" w:pos="1320"/>
          <w:tab w:val="left" w:pos="2280"/>
        </w:tabs>
        <w:spacing w:before="120"/>
        <w:ind w:firstLine="720"/>
        <w:jc w:val="both"/>
        <w:rPr>
          <w:sz w:val="28"/>
          <w:szCs w:val="28"/>
          <w:highlight w:val="white"/>
        </w:rPr>
      </w:pPr>
      <w:r>
        <w:rPr>
          <w:sz w:val="28"/>
          <w:szCs w:val="28"/>
          <w:highlight w:val="white"/>
        </w:rPr>
        <w:lastRenderedPageBreak/>
        <w:t>Đơn vị tính “lượt người”: số lượt người tham gia các cuộc phổ biến pháp luật hoặc tham gia vào cuộc thi tìm hiểu pháp luật. Ví dụ: một người tham gia 02 cuộc phổ biến pháp luật thì tính là 02 lượt người; có hai cuộc phổ biến pháp luật tại địa bàn cấp xã, mỗi cuộc có 100 người tham dự, như vậy, hai cuộc được tính là có 200 lượt người tham dự.</w:t>
      </w:r>
    </w:p>
    <w:p w14:paraId="00000019" w14:textId="77777777" w:rsidR="008A3462" w:rsidRPr="00FC5A71" w:rsidRDefault="00000000" w:rsidP="00FC5A71">
      <w:pPr>
        <w:tabs>
          <w:tab w:val="left" w:pos="840"/>
          <w:tab w:val="left" w:pos="1320"/>
          <w:tab w:val="left" w:pos="2280"/>
        </w:tabs>
        <w:spacing w:before="120"/>
        <w:ind w:firstLine="720"/>
        <w:jc w:val="both"/>
        <w:rPr>
          <w:spacing w:val="-2"/>
          <w:sz w:val="28"/>
          <w:szCs w:val="28"/>
          <w:highlight w:val="white"/>
        </w:rPr>
      </w:pPr>
      <w:r w:rsidRPr="00FC5A71">
        <w:rPr>
          <w:spacing w:val="-2"/>
          <w:sz w:val="28"/>
          <w:szCs w:val="28"/>
          <w:highlight w:val="white"/>
        </w:rPr>
        <w:t>- Việc thống kê “Số tài liệu PBGDPL được phát hành hoặc đăng tải”: Chỉ thống kê tài liệu tuyên truyền pháp luật do cơ quan, địa phương trực tiếp xây dựng và phát hành. Đơn vị tính “bản”: chỉ từng đơn vị tài liệu tuyên truyền được thể hiện dưới dạng tờ rơi, tờ gấp, sách, băng đĩa hình, băng đĩa tiếng… Ví dụ: Một tờ gấp tính là một bản, một bộ băng đĩa gồm 03 tập thì tính là 03 bản, một video, clip tính là một bản; một tài liệu dưới dạng word mà có nhiều phụ lục kèm theo chỉ tính là một bản.</w:t>
      </w:r>
    </w:p>
    <w:p w14:paraId="0000001A" w14:textId="00F81931" w:rsidR="008A3462" w:rsidRDefault="00000000" w:rsidP="00FC5A71">
      <w:pPr>
        <w:spacing w:before="120"/>
        <w:ind w:firstLine="720"/>
        <w:jc w:val="both"/>
        <w:rPr>
          <w:b/>
          <w:sz w:val="28"/>
          <w:szCs w:val="28"/>
          <w:highlight w:val="white"/>
        </w:rPr>
      </w:pPr>
      <w:r>
        <w:rPr>
          <w:b/>
          <w:i/>
          <w:sz w:val="28"/>
          <w:szCs w:val="28"/>
          <w:highlight w:val="white"/>
        </w:rPr>
        <w:t xml:space="preserve">- Áp dụng đối với Biểu mẫu số </w:t>
      </w:r>
      <w:r w:rsidR="00BF671C">
        <w:rPr>
          <w:b/>
          <w:i/>
          <w:sz w:val="28"/>
          <w:szCs w:val="28"/>
          <w:highlight w:val="white"/>
        </w:rPr>
        <w:t>04c</w:t>
      </w:r>
      <w:r>
        <w:rPr>
          <w:b/>
          <w:i/>
          <w:sz w:val="28"/>
          <w:szCs w:val="28"/>
          <w:highlight w:val="white"/>
        </w:rPr>
        <w:t>/TP/PBGDPL (Kết quả công tác phổ biến giáo dục pháp luật trên địa bàn tỉnh/thành phố)</w:t>
      </w:r>
    </w:p>
    <w:p w14:paraId="0000001B" w14:textId="1079F4D0" w:rsidR="008A3462" w:rsidRDefault="00000000" w:rsidP="00FC5A71">
      <w:pPr>
        <w:spacing w:before="120"/>
        <w:ind w:firstLine="720"/>
        <w:jc w:val="both"/>
        <w:rPr>
          <w:sz w:val="28"/>
          <w:szCs w:val="28"/>
          <w:highlight w:val="white"/>
        </w:rPr>
      </w:pPr>
      <w:r>
        <w:rPr>
          <w:sz w:val="28"/>
          <w:szCs w:val="28"/>
          <w:highlight w:val="white"/>
        </w:rPr>
        <w:t xml:space="preserve">Dòng “Tổng số trên địa bàn tỉnh” =  Mục I “Tại cấp tỉnh” + </w:t>
      </w:r>
      <w:r w:rsidR="00BF671C">
        <w:rPr>
          <w:sz w:val="28"/>
          <w:szCs w:val="28"/>
          <w:highlight w:val="white"/>
        </w:rPr>
        <w:t xml:space="preserve">Mục II </w:t>
      </w:r>
      <w:r>
        <w:rPr>
          <w:sz w:val="28"/>
          <w:szCs w:val="28"/>
          <w:highlight w:val="white"/>
        </w:rPr>
        <w:t>“Tại cấp xã”. Trong đó:</w:t>
      </w:r>
    </w:p>
    <w:p w14:paraId="0000001C" w14:textId="347960B3" w:rsidR="008A3462" w:rsidRDefault="00000000" w:rsidP="00FC5A71">
      <w:pPr>
        <w:spacing w:before="120"/>
        <w:ind w:firstLine="720"/>
        <w:jc w:val="both"/>
        <w:rPr>
          <w:sz w:val="28"/>
          <w:szCs w:val="28"/>
          <w:highlight w:val="white"/>
        </w:rPr>
      </w:pPr>
      <w:r>
        <w:rPr>
          <w:sz w:val="28"/>
          <w:szCs w:val="28"/>
          <w:highlight w:val="white"/>
        </w:rPr>
        <w:t xml:space="preserve">+ Mục I “Tại cấp tỉnh”  = Mục 1 “Cơ quan chuyên môn thuộc UBND cấp tỉnh” </w:t>
      </w:r>
      <w:r w:rsidRPr="0039138E">
        <w:rPr>
          <w:color w:val="EE0000"/>
          <w:sz w:val="28"/>
          <w:szCs w:val="28"/>
          <w:highlight w:val="white"/>
        </w:rPr>
        <w:t xml:space="preserve">+ Mục </w:t>
      </w:r>
      <w:r w:rsidR="00FC5A71" w:rsidRPr="0039138E">
        <w:rPr>
          <w:color w:val="EE0000"/>
          <w:sz w:val="28"/>
          <w:szCs w:val="28"/>
          <w:highlight w:val="white"/>
        </w:rPr>
        <w:t>2</w:t>
      </w:r>
      <w:r w:rsidRPr="0039138E">
        <w:rPr>
          <w:color w:val="EE0000"/>
          <w:sz w:val="28"/>
          <w:szCs w:val="28"/>
          <w:highlight w:val="white"/>
        </w:rPr>
        <w:t xml:space="preserve"> </w:t>
      </w:r>
      <w:r w:rsidR="00D51102" w:rsidRPr="0039138E">
        <w:rPr>
          <w:color w:val="EE0000"/>
          <w:sz w:val="28"/>
          <w:szCs w:val="28"/>
          <w:highlight w:val="white"/>
        </w:rPr>
        <w:t>“Cơ quan Ủy ban Mặt trận Tổ quốc Việt Nam cấp tỉnh”</w:t>
      </w:r>
      <w:r w:rsidR="00D51102">
        <w:rPr>
          <w:sz w:val="28"/>
          <w:szCs w:val="28"/>
          <w:highlight w:val="white"/>
        </w:rPr>
        <w:t xml:space="preserve"> + Mục 3 </w:t>
      </w:r>
      <w:r>
        <w:rPr>
          <w:sz w:val="28"/>
          <w:szCs w:val="28"/>
          <w:highlight w:val="white"/>
        </w:rPr>
        <w:t>“Doanh nghiệp nhà nước do UBND cấp tỉnh quản lý”</w:t>
      </w:r>
      <w:r w:rsidR="00D51102">
        <w:rPr>
          <w:sz w:val="28"/>
          <w:szCs w:val="28"/>
          <w:highlight w:val="white"/>
        </w:rPr>
        <w:t>.</w:t>
      </w:r>
    </w:p>
    <w:p w14:paraId="0000001D" w14:textId="48EB1BC8" w:rsidR="008A3462" w:rsidRDefault="00000000" w:rsidP="00FC5A71">
      <w:pPr>
        <w:spacing w:before="120"/>
        <w:ind w:firstLine="720"/>
        <w:jc w:val="both"/>
        <w:rPr>
          <w:sz w:val="28"/>
          <w:szCs w:val="28"/>
          <w:highlight w:val="white"/>
        </w:rPr>
      </w:pPr>
      <w:r>
        <w:rPr>
          <w:sz w:val="28"/>
          <w:szCs w:val="28"/>
          <w:highlight w:val="white"/>
        </w:rPr>
        <w:t xml:space="preserve">+ Mục II “Tại cấp xã” là tổng số liệu của cấp xã trên địa bàn tỉnh. </w:t>
      </w:r>
    </w:p>
    <w:p w14:paraId="0000001E" w14:textId="52C24C9D" w:rsidR="008A3462" w:rsidRDefault="00000000" w:rsidP="00FC5A71">
      <w:pPr>
        <w:spacing w:before="120"/>
        <w:ind w:firstLine="720"/>
        <w:jc w:val="both"/>
        <w:rPr>
          <w:sz w:val="28"/>
          <w:szCs w:val="28"/>
          <w:highlight w:val="white"/>
        </w:rPr>
      </w:pPr>
      <w:r>
        <w:rPr>
          <w:sz w:val="28"/>
          <w:szCs w:val="28"/>
          <w:highlight w:val="white"/>
        </w:rPr>
        <w:t>Trong đó, dòng “Tên xã</w:t>
      </w:r>
      <w:r w:rsidR="00E916EB">
        <w:rPr>
          <w:sz w:val="28"/>
          <w:szCs w:val="28"/>
          <w:highlight w:val="white"/>
        </w:rPr>
        <w:t>/phường/đặc khu</w:t>
      </w:r>
      <w:r>
        <w:rPr>
          <w:sz w:val="28"/>
          <w:szCs w:val="28"/>
          <w:highlight w:val="white"/>
        </w:rPr>
        <w:t>…”</w:t>
      </w:r>
      <w:r>
        <w:rPr>
          <w:i/>
          <w:sz w:val="28"/>
          <w:szCs w:val="28"/>
          <w:highlight w:val="white"/>
        </w:rPr>
        <w:t>:</w:t>
      </w:r>
      <w:r>
        <w:rPr>
          <w:sz w:val="28"/>
          <w:szCs w:val="28"/>
          <w:highlight w:val="white"/>
        </w:rPr>
        <w:t xml:space="preserve"> Lần lượt báo cáo số liệu của cấp xã.</w:t>
      </w:r>
    </w:p>
    <w:p w14:paraId="0000001F" w14:textId="77777777" w:rsidR="008A3462" w:rsidRDefault="00000000" w:rsidP="00FC5A71">
      <w:pPr>
        <w:spacing w:before="120"/>
        <w:ind w:firstLine="720"/>
        <w:jc w:val="both"/>
        <w:rPr>
          <w:sz w:val="28"/>
          <w:szCs w:val="28"/>
          <w:highlight w:val="white"/>
        </w:rPr>
      </w:pPr>
      <w:r>
        <w:rPr>
          <w:b/>
          <w:sz w:val="28"/>
          <w:szCs w:val="28"/>
          <w:highlight w:val="white"/>
        </w:rPr>
        <w:t>3. Nguồn số liệu</w:t>
      </w:r>
    </w:p>
    <w:p w14:paraId="00000020" w14:textId="7E959D39" w:rsidR="008A3462" w:rsidRDefault="00000000" w:rsidP="00FC5A71">
      <w:pPr>
        <w:spacing w:before="120"/>
        <w:ind w:firstLine="720"/>
        <w:jc w:val="both"/>
        <w:rPr>
          <w:sz w:val="28"/>
          <w:szCs w:val="28"/>
          <w:highlight w:val="white"/>
        </w:rPr>
      </w:pPr>
      <w:r>
        <w:rPr>
          <w:sz w:val="28"/>
          <w:szCs w:val="28"/>
          <w:highlight w:val="white"/>
        </w:rPr>
        <w:t xml:space="preserve">- Biểu số </w:t>
      </w:r>
      <w:r w:rsidR="002A3310">
        <w:rPr>
          <w:sz w:val="28"/>
          <w:szCs w:val="28"/>
          <w:highlight w:val="white"/>
        </w:rPr>
        <w:t>04a</w:t>
      </w:r>
      <w:r>
        <w:rPr>
          <w:sz w:val="28"/>
          <w:szCs w:val="28"/>
          <w:highlight w:val="white"/>
        </w:rPr>
        <w:t xml:space="preserve">/TP/PBGDPL: nguồn số liệu từ Ủy ban nhân dân cấp xã. </w:t>
      </w:r>
    </w:p>
    <w:p w14:paraId="00000021" w14:textId="116A024C" w:rsidR="008A3462" w:rsidRDefault="00000000" w:rsidP="00FC5A71">
      <w:pPr>
        <w:spacing w:before="120"/>
        <w:ind w:firstLine="720"/>
        <w:jc w:val="both"/>
        <w:rPr>
          <w:sz w:val="28"/>
          <w:szCs w:val="28"/>
          <w:highlight w:val="white"/>
        </w:rPr>
      </w:pPr>
      <w:r>
        <w:rPr>
          <w:sz w:val="28"/>
          <w:szCs w:val="28"/>
          <w:highlight w:val="white"/>
        </w:rPr>
        <w:t xml:space="preserve">- Biểu số </w:t>
      </w:r>
      <w:r w:rsidR="002A3310">
        <w:rPr>
          <w:sz w:val="28"/>
          <w:szCs w:val="28"/>
          <w:highlight w:val="white"/>
        </w:rPr>
        <w:t>04b</w:t>
      </w:r>
      <w:r>
        <w:rPr>
          <w:sz w:val="28"/>
          <w:szCs w:val="28"/>
          <w:highlight w:val="white"/>
        </w:rPr>
        <w:t>/TP/PBGDPL: nguồn số liệu từ các cơ quan chuyên môn thuộc UBND cấp tỉnh; Doanh nghiệp nhà nước do UBND cấp tỉnh quản lý.</w:t>
      </w:r>
    </w:p>
    <w:p w14:paraId="00000022" w14:textId="5C1B98DF" w:rsidR="008A3462" w:rsidRDefault="00000000" w:rsidP="00FC5A71">
      <w:pPr>
        <w:spacing w:before="120"/>
        <w:ind w:firstLine="720"/>
        <w:jc w:val="both"/>
        <w:rPr>
          <w:sz w:val="28"/>
          <w:szCs w:val="28"/>
          <w:highlight w:val="white"/>
        </w:rPr>
      </w:pPr>
      <w:r>
        <w:rPr>
          <w:sz w:val="28"/>
          <w:szCs w:val="28"/>
          <w:highlight w:val="white"/>
        </w:rPr>
        <w:t xml:space="preserve">- Biểu số </w:t>
      </w:r>
      <w:r w:rsidR="002A3310">
        <w:rPr>
          <w:sz w:val="28"/>
          <w:szCs w:val="28"/>
          <w:highlight w:val="white"/>
        </w:rPr>
        <w:t>04c</w:t>
      </w:r>
      <w:r>
        <w:rPr>
          <w:sz w:val="28"/>
          <w:szCs w:val="28"/>
          <w:highlight w:val="white"/>
        </w:rPr>
        <w:t xml:space="preserve">/TP/PBGDPL: nguồn số liệu từ Sở Tư pháp và được tổng hợp từ biểu số </w:t>
      </w:r>
      <w:r w:rsidR="002A3310">
        <w:rPr>
          <w:sz w:val="28"/>
          <w:szCs w:val="28"/>
          <w:highlight w:val="white"/>
        </w:rPr>
        <w:t>04a</w:t>
      </w:r>
      <w:r>
        <w:rPr>
          <w:sz w:val="28"/>
          <w:szCs w:val="28"/>
          <w:highlight w:val="white"/>
        </w:rPr>
        <w:t>/</w:t>
      </w:r>
      <w:r w:rsidR="009F757F">
        <w:rPr>
          <w:sz w:val="28"/>
          <w:szCs w:val="28"/>
          <w:highlight w:val="white"/>
        </w:rPr>
        <w:t>TP/</w:t>
      </w:r>
      <w:r>
        <w:rPr>
          <w:sz w:val="28"/>
          <w:szCs w:val="28"/>
          <w:highlight w:val="white"/>
        </w:rPr>
        <w:t xml:space="preserve">PBGDPL của UBND cấp xã, biểu số </w:t>
      </w:r>
      <w:r w:rsidR="002A3310">
        <w:rPr>
          <w:sz w:val="28"/>
          <w:szCs w:val="28"/>
          <w:highlight w:val="white"/>
        </w:rPr>
        <w:t>04b</w:t>
      </w:r>
      <w:r>
        <w:rPr>
          <w:sz w:val="28"/>
          <w:szCs w:val="28"/>
          <w:highlight w:val="white"/>
        </w:rPr>
        <w:t>/</w:t>
      </w:r>
      <w:r w:rsidR="009F757F">
        <w:rPr>
          <w:sz w:val="28"/>
          <w:szCs w:val="28"/>
          <w:highlight w:val="white"/>
        </w:rPr>
        <w:t>TP/</w:t>
      </w:r>
      <w:r>
        <w:rPr>
          <w:sz w:val="28"/>
          <w:szCs w:val="28"/>
          <w:highlight w:val="white"/>
        </w:rPr>
        <w:t>PBGDPL của các Ban</w:t>
      </w:r>
      <w:r w:rsidR="00873C29">
        <w:rPr>
          <w:sz w:val="28"/>
          <w:szCs w:val="28"/>
          <w:highlight w:val="white"/>
        </w:rPr>
        <w:t>/n</w:t>
      </w:r>
      <w:r>
        <w:rPr>
          <w:sz w:val="28"/>
          <w:szCs w:val="28"/>
          <w:highlight w:val="white"/>
        </w:rPr>
        <w:t>gành</w:t>
      </w:r>
      <w:r w:rsidR="00873C29">
        <w:rPr>
          <w:sz w:val="28"/>
          <w:szCs w:val="28"/>
          <w:highlight w:val="white"/>
        </w:rPr>
        <w:t>; cơ quan chuyên môn thuộc UBND</w:t>
      </w:r>
      <w:r>
        <w:rPr>
          <w:sz w:val="28"/>
          <w:szCs w:val="28"/>
          <w:highlight w:val="white"/>
        </w:rPr>
        <w:t xml:space="preserve"> cấp tỉnh.</w:t>
      </w:r>
    </w:p>
    <w:p w14:paraId="00000024" w14:textId="2AE6DAC1" w:rsidR="008A3462" w:rsidRDefault="00000000" w:rsidP="00FC5A71">
      <w:pPr>
        <w:spacing w:before="120"/>
        <w:ind w:firstLine="720"/>
        <w:jc w:val="both"/>
        <w:rPr>
          <w:sz w:val="28"/>
          <w:szCs w:val="28"/>
          <w:highlight w:val="white"/>
        </w:rPr>
      </w:pPr>
      <w:r>
        <w:rPr>
          <w:sz w:val="28"/>
          <w:szCs w:val="28"/>
          <w:highlight w:val="white"/>
        </w:rPr>
        <w:t xml:space="preserve">- Biểu số </w:t>
      </w:r>
      <w:r w:rsidR="00873C29">
        <w:rPr>
          <w:sz w:val="28"/>
          <w:szCs w:val="28"/>
          <w:highlight w:val="white"/>
        </w:rPr>
        <w:t>04d</w:t>
      </w:r>
      <w:r>
        <w:rPr>
          <w:sz w:val="28"/>
          <w:szCs w:val="28"/>
          <w:highlight w:val="white"/>
        </w:rPr>
        <w:t>/TP/PBGDPL: nguồn số liệu từ các bộ, cơ quan ngang bộ, cơ quan thuộc Chính phủ.</w:t>
      </w:r>
    </w:p>
    <w:sectPr w:rsidR="008A3462">
      <w:footerReference w:type="even" r:id="rId6"/>
      <w:footerReference w:type="default" r:id="rId7"/>
      <w:pgSz w:w="16840" w:h="11907" w:orient="landscape"/>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ABD8" w14:textId="77777777" w:rsidR="006249C4" w:rsidRDefault="006249C4">
      <w:r>
        <w:separator/>
      </w:r>
    </w:p>
  </w:endnote>
  <w:endnote w:type="continuationSeparator" w:id="0">
    <w:p w14:paraId="487C3306" w14:textId="77777777" w:rsidR="006249C4" w:rsidRDefault="0062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8A3462" w:rsidRDefault="00000000">
    <w:pPr>
      <w:pBdr>
        <w:top w:val="nil"/>
        <w:left w:val="nil"/>
        <w:bottom w:val="nil"/>
        <w:right w:val="nil"/>
        <w:between w:val="nil"/>
      </w:pBdr>
      <w:tabs>
        <w:tab w:val="center" w:pos="4320"/>
        <w:tab w:val="right" w:pos="8640"/>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026" w14:textId="77777777" w:rsidR="008A3462" w:rsidRDefault="008A3462">
    <w:pPr>
      <w:pBdr>
        <w:top w:val="nil"/>
        <w:left w:val="nil"/>
        <w:bottom w:val="nil"/>
        <w:right w:val="nil"/>
        <w:between w:val="nil"/>
      </w:pBdr>
      <w:tabs>
        <w:tab w:val="center" w:pos="4320"/>
        <w:tab w:val="right" w:pos="8640"/>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8A3462" w:rsidRDefault="008A3462">
    <w:pPr>
      <w:pBdr>
        <w:top w:val="nil"/>
        <w:left w:val="nil"/>
        <w:bottom w:val="nil"/>
        <w:right w:val="nil"/>
        <w:between w:val="nil"/>
      </w:pBdr>
      <w:tabs>
        <w:tab w:val="center" w:pos="4320"/>
        <w:tab w:val="right" w:pos="8640"/>
      </w:tabs>
      <w:ind w:right="360"/>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EE14" w14:textId="77777777" w:rsidR="006249C4" w:rsidRDefault="006249C4">
      <w:r>
        <w:separator/>
      </w:r>
    </w:p>
  </w:footnote>
  <w:footnote w:type="continuationSeparator" w:id="0">
    <w:p w14:paraId="6E433111" w14:textId="77777777" w:rsidR="006249C4" w:rsidRDefault="00624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62"/>
    <w:rsid w:val="00083295"/>
    <w:rsid w:val="00102956"/>
    <w:rsid w:val="00241188"/>
    <w:rsid w:val="00251EF3"/>
    <w:rsid w:val="00257E2C"/>
    <w:rsid w:val="0027012E"/>
    <w:rsid w:val="002A3310"/>
    <w:rsid w:val="00307DB3"/>
    <w:rsid w:val="00342EF1"/>
    <w:rsid w:val="003655CF"/>
    <w:rsid w:val="0039138E"/>
    <w:rsid w:val="003C39C7"/>
    <w:rsid w:val="003D0FE8"/>
    <w:rsid w:val="003E1203"/>
    <w:rsid w:val="004B325D"/>
    <w:rsid w:val="006249C4"/>
    <w:rsid w:val="006A1F0D"/>
    <w:rsid w:val="00712061"/>
    <w:rsid w:val="007755BD"/>
    <w:rsid w:val="00836FF5"/>
    <w:rsid w:val="00840C56"/>
    <w:rsid w:val="00873C29"/>
    <w:rsid w:val="008A3462"/>
    <w:rsid w:val="00903D18"/>
    <w:rsid w:val="00931529"/>
    <w:rsid w:val="009C7205"/>
    <w:rsid w:val="009F757F"/>
    <w:rsid w:val="00B34D34"/>
    <w:rsid w:val="00B77F47"/>
    <w:rsid w:val="00BF671C"/>
    <w:rsid w:val="00C434FA"/>
    <w:rsid w:val="00D51102"/>
    <w:rsid w:val="00D86EDF"/>
    <w:rsid w:val="00E916EB"/>
    <w:rsid w:val="00FC5A71"/>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8DEB"/>
  <w15:docId w15:val="{46342E98-AD61-4293-B00B-FCD83367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spacing w:before="40" w:after="40" w:line="312" w:lineRule="auto"/>
      <w:ind w:left="57" w:right="57" w:firstLine="737"/>
      <w:jc w:val="both"/>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41188"/>
  </w:style>
  <w:style w:type="paragraph" w:styleId="Header">
    <w:name w:val="header"/>
    <w:basedOn w:val="Normal"/>
    <w:link w:val="HeaderChar"/>
    <w:uiPriority w:val="99"/>
    <w:unhideWhenUsed/>
    <w:rsid w:val="00D86EDF"/>
    <w:pPr>
      <w:tabs>
        <w:tab w:val="center" w:pos="4680"/>
        <w:tab w:val="right" w:pos="9360"/>
      </w:tabs>
    </w:pPr>
  </w:style>
  <w:style w:type="character" w:customStyle="1" w:styleId="HeaderChar">
    <w:name w:val="Header Char"/>
    <w:basedOn w:val="DefaultParagraphFont"/>
    <w:link w:val="Header"/>
    <w:uiPriority w:val="99"/>
    <w:rsid w:val="00D86EDF"/>
  </w:style>
  <w:style w:type="paragraph" w:styleId="Footer">
    <w:name w:val="footer"/>
    <w:basedOn w:val="Normal"/>
    <w:link w:val="FooterChar"/>
    <w:uiPriority w:val="99"/>
    <w:unhideWhenUsed/>
    <w:rsid w:val="00D86EDF"/>
    <w:pPr>
      <w:tabs>
        <w:tab w:val="center" w:pos="4680"/>
        <w:tab w:val="right" w:pos="9360"/>
      </w:tabs>
    </w:pPr>
  </w:style>
  <w:style w:type="character" w:customStyle="1" w:styleId="FooterChar">
    <w:name w:val="Footer Char"/>
    <w:basedOn w:val="DefaultParagraphFont"/>
    <w:link w:val="Footer"/>
    <w:uiPriority w:val="99"/>
    <w:rsid w:val="00D8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cp:lastPrinted>2025-10-29T10:07:00Z</cp:lastPrinted>
  <dcterms:created xsi:type="dcterms:W3CDTF">2025-10-08T04:48:00Z</dcterms:created>
  <dcterms:modified xsi:type="dcterms:W3CDTF">2025-10-29T10:27:00Z</dcterms:modified>
</cp:coreProperties>
</file>